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1B10" w14:textId="1F7713C0" w:rsidR="0032085F" w:rsidRPr="007A4757" w:rsidRDefault="0032085F" w:rsidP="007A4757">
      <w:pPr>
        <w:spacing w:before="242"/>
        <w:ind w:left="20"/>
        <w:jc w:val="center"/>
        <w:rPr>
          <w:rFonts w:ascii="Arial"/>
          <w:b/>
          <w:color w:val="1B0D51"/>
          <w:spacing w:val="-1"/>
          <w:sz w:val="32"/>
          <w:szCs w:val="32"/>
        </w:rPr>
      </w:pPr>
      <w:r>
        <w:rPr>
          <w:rFonts w:ascii="Arial"/>
          <w:b/>
          <w:color w:val="1B0D51"/>
          <w:spacing w:val="-1"/>
          <w:sz w:val="32"/>
          <w:szCs w:val="32"/>
        </w:rPr>
        <w:t xml:space="preserve">30% Club Hong Kong Investor Group </w:t>
      </w:r>
      <w:r w:rsidRPr="007A4757">
        <w:rPr>
          <w:rFonts w:ascii="Arial"/>
          <w:b/>
          <w:color w:val="1B0D51"/>
          <w:spacing w:val="-1"/>
          <w:sz w:val="32"/>
          <w:szCs w:val="32"/>
        </w:rPr>
        <w:t>Statement of Intent</w:t>
      </w:r>
    </w:p>
    <w:p w14:paraId="18C80E48" w14:textId="77777777" w:rsidR="0032085F" w:rsidRPr="0032085F" w:rsidRDefault="0032085F" w:rsidP="0032085F">
      <w:pPr>
        <w:spacing w:before="242"/>
        <w:ind w:left="20"/>
        <w:jc w:val="center"/>
        <w:rPr>
          <w:rFonts w:ascii="Arial"/>
          <w:b/>
          <w:color w:val="1B0D51"/>
          <w:spacing w:val="-1"/>
          <w:szCs w:val="18"/>
        </w:rPr>
      </w:pPr>
      <w:r w:rsidRPr="0032085F">
        <w:rPr>
          <w:rFonts w:ascii="Arial"/>
          <w:b/>
          <w:color w:val="1B0D51"/>
          <w:spacing w:val="-1"/>
          <w:sz w:val="24"/>
          <w:szCs w:val="24"/>
        </w:rPr>
        <w:t>December 2021</w:t>
      </w:r>
    </w:p>
    <w:p w14:paraId="56EC43C7" w14:textId="6BA73802" w:rsidR="00DD1CC6" w:rsidRDefault="00DD1CC6" w:rsidP="0032085F">
      <w:pPr>
        <w:rPr>
          <w:rFonts w:ascii="Times New Roman" w:eastAsia="Times New Roman" w:hAnsi="Times New Roman" w:cs="Times New Roman"/>
          <w:sz w:val="20"/>
          <w:szCs w:val="20"/>
        </w:rPr>
      </w:pPr>
    </w:p>
    <w:p w14:paraId="387B1CDB" w14:textId="660EE256" w:rsidR="007A4757" w:rsidRDefault="007A4757" w:rsidP="007A4757">
      <w:pPr>
        <w:pStyle w:val="BodyText"/>
        <w:ind w:right="314"/>
        <w:jc w:val="both"/>
      </w:pPr>
    </w:p>
    <w:p w14:paraId="640DE2D8" w14:textId="23C9F302" w:rsidR="007A4757" w:rsidRDefault="007A4757" w:rsidP="007A4757">
      <w:pPr>
        <w:pStyle w:val="BodyText"/>
        <w:ind w:right="314"/>
        <w:jc w:val="both"/>
      </w:pPr>
    </w:p>
    <w:p w14:paraId="157C46E8" w14:textId="77777777" w:rsidR="007A4757" w:rsidRDefault="007A4757" w:rsidP="007A4757">
      <w:pPr>
        <w:pStyle w:val="BodyText"/>
        <w:ind w:right="314"/>
        <w:jc w:val="both"/>
      </w:pPr>
    </w:p>
    <w:p w14:paraId="105BA6D2" w14:textId="13AB94E0" w:rsidR="002840AC" w:rsidRDefault="006B23D9" w:rsidP="007A4757">
      <w:pPr>
        <w:pStyle w:val="BodyText"/>
        <w:ind w:right="314"/>
        <w:jc w:val="both"/>
      </w:pPr>
      <w:r>
        <w:t>As asset owners and asset managers</w:t>
      </w:r>
      <w:r w:rsidR="00C6665C">
        <w:t>,</w:t>
      </w:r>
      <w:r>
        <w:t xml:space="preserve"> we are </w:t>
      </w:r>
      <w:r w:rsidR="0032085F">
        <w:t xml:space="preserve">fiduciaries </w:t>
      </w:r>
      <w:r>
        <w:t>responsible for the stewardship of the investments we make on behalf of our members</w:t>
      </w:r>
      <w:r w:rsidR="00F66AD0">
        <w:t>, investors, partners</w:t>
      </w:r>
      <w:r w:rsidR="0032085F">
        <w:t>,</w:t>
      </w:r>
      <w:r>
        <w:t xml:space="preserve"> and clients. Part of that responsibility includes the assessment of the </w:t>
      </w:r>
      <w:r w:rsidR="00F66AD0">
        <w:t xml:space="preserve">Boards </w:t>
      </w:r>
      <w:r w:rsidR="002840AC">
        <w:t xml:space="preserve">and senior management </w:t>
      </w:r>
      <w:r>
        <w:t xml:space="preserve">of our investee companies. </w:t>
      </w:r>
    </w:p>
    <w:p w14:paraId="64DBBD35" w14:textId="77777777" w:rsidR="002840AC" w:rsidRDefault="002840AC" w:rsidP="007A4757">
      <w:pPr>
        <w:pStyle w:val="BodyText"/>
        <w:ind w:right="314"/>
        <w:jc w:val="both"/>
      </w:pPr>
    </w:p>
    <w:p w14:paraId="2D7DD8ED" w14:textId="077A6117" w:rsidR="00E70B35" w:rsidRDefault="006B23D9" w:rsidP="007A4757">
      <w:pPr>
        <w:pStyle w:val="BodyText"/>
        <w:ind w:right="314"/>
        <w:jc w:val="both"/>
      </w:pPr>
      <w:r>
        <w:t>We believe</w:t>
      </w:r>
      <w:r w:rsidR="00E9128C">
        <w:t xml:space="preserve"> </w:t>
      </w:r>
      <w:r w:rsidR="00B23A28">
        <w:t xml:space="preserve">that </w:t>
      </w:r>
      <w:r w:rsidR="00F66AD0">
        <w:t xml:space="preserve">Boards </w:t>
      </w:r>
      <w:r w:rsidR="00E9128C">
        <w:t xml:space="preserve">that genuinely embrace diversity, as manifested through appropriate gender representation, </w:t>
      </w:r>
      <w:r w:rsidR="00F66AD0">
        <w:t xml:space="preserve">with </w:t>
      </w:r>
      <w:r w:rsidR="00E9128C">
        <w:t>a broad spectrum of</w:t>
      </w:r>
      <w:r>
        <w:t xml:space="preserve"> skills</w:t>
      </w:r>
      <w:r w:rsidR="00E9128C">
        <w:t xml:space="preserve"> and experience</w:t>
      </w:r>
      <w:r w:rsidR="00BE1AFB">
        <w:t>,</w:t>
      </w:r>
      <w:r w:rsidR="00E9128C">
        <w:t xml:space="preserve"> </w:t>
      </w:r>
      <w:r>
        <w:t>are more likely to achieve better outcomes for investors</w:t>
      </w:r>
      <w:r w:rsidR="00B23A28">
        <w:t>, and t</w:t>
      </w:r>
      <w:r>
        <w:t xml:space="preserve">here is increasing </w:t>
      </w:r>
      <w:r w:rsidR="00B23A28">
        <w:t xml:space="preserve">academic and empirical </w:t>
      </w:r>
      <w:r>
        <w:t>research to support this hypothesis.</w:t>
      </w:r>
    </w:p>
    <w:p w14:paraId="1884F5E7" w14:textId="77777777" w:rsidR="00840112" w:rsidRDefault="00840112" w:rsidP="007A4757">
      <w:pPr>
        <w:pStyle w:val="BodyText"/>
        <w:ind w:right="314"/>
        <w:jc w:val="both"/>
      </w:pPr>
    </w:p>
    <w:p w14:paraId="2BF42430" w14:textId="7CEB59D6" w:rsidR="002F44A1" w:rsidRDefault="002F44A1" w:rsidP="007A4757">
      <w:pPr>
        <w:pStyle w:val="BodyText"/>
        <w:ind w:right="314"/>
        <w:jc w:val="both"/>
      </w:pPr>
      <w:r>
        <w:t xml:space="preserve">The 30% Club Hong Kong Investor Group is </w:t>
      </w:r>
      <w:r w:rsidR="00B23A28">
        <w:t xml:space="preserve">composed </w:t>
      </w:r>
      <w:r>
        <w:t xml:space="preserve">of asset owners and asset managers sharing the aim to educate and collaborate with boards about effective pathways to increasing gender diversity and gender equality at all levels of the organization. </w:t>
      </w:r>
    </w:p>
    <w:p w14:paraId="07DE3D20" w14:textId="77777777" w:rsidR="002F44A1" w:rsidRDefault="002F44A1" w:rsidP="007A4757">
      <w:pPr>
        <w:pStyle w:val="BodyText"/>
        <w:ind w:right="314"/>
        <w:jc w:val="both"/>
      </w:pPr>
    </w:p>
    <w:p w14:paraId="5B41CF9A" w14:textId="03C45E00" w:rsidR="002F44A1" w:rsidRDefault="002F44A1" w:rsidP="007A4757">
      <w:pPr>
        <w:pStyle w:val="BodyText"/>
        <w:ind w:right="314"/>
        <w:jc w:val="both"/>
      </w:pPr>
      <w:r>
        <w:t>The purpose of th</w:t>
      </w:r>
      <w:r w:rsidR="00B23A28">
        <w:t>is</w:t>
      </w:r>
      <w:r>
        <w:t xml:space="preserve"> </w:t>
      </w:r>
      <w:r w:rsidRPr="0032085F">
        <w:rPr>
          <w:i/>
          <w:iCs/>
        </w:rPr>
        <w:t>Statement of Intent</w:t>
      </w:r>
      <w:r>
        <w:t xml:space="preserve"> is to demonstrate the strong commitment that members have in delivering outcomes on gender diversity that are sustainable over the longer-term.</w:t>
      </w:r>
    </w:p>
    <w:p w14:paraId="1F56DE33" w14:textId="77777777" w:rsidR="007A4757" w:rsidRDefault="007A4757" w:rsidP="007A4757">
      <w:pPr>
        <w:pStyle w:val="BodyText"/>
        <w:ind w:right="314"/>
        <w:jc w:val="both"/>
      </w:pPr>
    </w:p>
    <w:p w14:paraId="57C73613" w14:textId="76686289" w:rsidR="00DD1CC6" w:rsidRDefault="00DD1CC6" w:rsidP="007A4757">
      <w:pPr>
        <w:rPr>
          <w:rFonts w:ascii="Arial" w:eastAsia="Arial" w:hAnsi="Arial" w:cs="Arial"/>
          <w:sz w:val="20"/>
          <w:szCs w:val="20"/>
        </w:rPr>
      </w:pPr>
    </w:p>
    <w:p w14:paraId="2C34328D" w14:textId="2F6FB0A3" w:rsidR="002F44A1" w:rsidRDefault="002F44A1" w:rsidP="0032085F">
      <w:pPr>
        <w:pStyle w:val="Heading1"/>
        <w:rPr>
          <w:spacing w:val="-1"/>
        </w:rPr>
      </w:pPr>
      <w:r>
        <w:rPr>
          <w:spacing w:val="-1"/>
        </w:rPr>
        <w:t>Target</w:t>
      </w:r>
    </w:p>
    <w:p w14:paraId="47022579" w14:textId="77777777" w:rsidR="002F44A1" w:rsidRDefault="002F44A1" w:rsidP="007A4757">
      <w:pPr>
        <w:pStyle w:val="BodyText"/>
        <w:ind w:right="314"/>
        <w:jc w:val="both"/>
      </w:pPr>
    </w:p>
    <w:p w14:paraId="6AD82DC3" w14:textId="11CBB93F" w:rsidR="002F44A1" w:rsidRDefault="002F44A1" w:rsidP="007A4757">
      <w:pPr>
        <w:pStyle w:val="BodyText"/>
        <w:ind w:right="314"/>
        <w:jc w:val="both"/>
      </w:pPr>
      <w:r>
        <w:t xml:space="preserve">As members of the 30% Club Hong Kong Investor Group, we support the </w:t>
      </w:r>
      <w:r w:rsidRPr="00F66AD0">
        <w:t xml:space="preserve">voluntary aspirational targets set by the 30% Club </w:t>
      </w:r>
      <w:r>
        <w:t xml:space="preserve">Hong Kong </w:t>
      </w:r>
      <w:r w:rsidRPr="00F66AD0">
        <w:t xml:space="preserve">to achieve </w:t>
      </w:r>
      <w:r w:rsidRPr="00BD2BA7">
        <w:rPr>
          <w:b/>
          <w:bCs/>
        </w:rPr>
        <w:t xml:space="preserve">25% female </w:t>
      </w:r>
      <w:r w:rsidR="00B23A28">
        <w:rPr>
          <w:b/>
          <w:bCs/>
        </w:rPr>
        <w:t xml:space="preserve">Board </w:t>
      </w:r>
      <w:r w:rsidRPr="00BD2BA7">
        <w:rPr>
          <w:b/>
          <w:bCs/>
        </w:rPr>
        <w:t>representation by the year 2025, and</w:t>
      </w:r>
      <w:r w:rsidRPr="00F66AD0">
        <w:t xml:space="preserve"> </w:t>
      </w:r>
      <w:r w:rsidRPr="001519A5">
        <w:rPr>
          <w:b/>
          <w:bCs/>
        </w:rPr>
        <w:t xml:space="preserve">30% </w:t>
      </w:r>
      <w:r w:rsidR="00B23A28">
        <w:rPr>
          <w:b/>
          <w:bCs/>
        </w:rPr>
        <w:t>by the year 2028,</w:t>
      </w:r>
      <w:r w:rsidRPr="001519A5">
        <w:rPr>
          <w:b/>
          <w:bCs/>
        </w:rPr>
        <w:t xml:space="preserve"> which should </w:t>
      </w:r>
      <w:r w:rsidR="00B23A28">
        <w:rPr>
          <w:b/>
          <w:bCs/>
        </w:rPr>
        <w:t xml:space="preserve">be </w:t>
      </w:r>
      <w:r w:rsidRPr="001519A5">
        <w:rPr>
          <w:b/>
          <w:bCs/>
        </w:rPr>
        <w:t>mandated by quotas if these targets are not met</w:t>
      </w:r>
      <w:r w:rsidRPr="001519A5">
        <w:t>.</w:t>
      </w:r>
    </w:p>
    <w:p w14:paraId="23F268DF" w14:textId="629706D8" w:rsidR="00C36B92" w:rsidRDefault="00C36B92" w:rsidP="007A4757">
      <w:pPr>
        <w:pStyle w:val="Heading1"/>
        <w:jc w:val="both"/>
        <w:rPr>
          <w:spacing w:val="-1"/>
        </w:rPr>
      </w:pPr>
    </w:p>
    <w:p w14:paraId="56EE6EC6" w14:textId="77777777" w:rsidR="007A4757" w:rsidRDefault="007A4757" w:rsidP="007A4757">
      <w:pPr>
        <w:pStyle w:val="Heading1"/>
        <w:jc w:val="both"/>
        <w:rPr>
          <w:spacing w:val="-1"/>
        </w:rPr>
      </w:pPr>
    </w:p>
    <w:p w14:paraId="6EAC5AEA" w14:textId="40162271" w:rsidR="00DD1CC6" w:rsidRDefault="007C13B8" w:rsidP="007A4757">
      <w:pPr>
        <w:pStyle w:val="Heading1"/>
        <w:jc w:val="both"/>
        <w:rPr>
          <w:b w:val="0"/>
          <w:bCs w:val="0"/>
        </w:rPr>
      </w:pPr>
      <w:r>
        <w:rPr>
          <w:spacing w:val="-1"/>
        </w:rPr>
        <w:t xml:space="preserve">Disclosure </w:t>
      </w:r>
      <w:r w:rsidR="00023CDB">
        <w:rPr>
          <w:spacing w:val="-1"/>
        </w:rPr>
        <w:t>Expectations of Investee Companies</w:t>
      </w:r>
    </w:p>
    <w:p w14:paraId="6D2192B0" w14:textId="77777777" w:rsidR="00DD1CC6" w:rsidRDefault="00DD1CC6" w:rsidP="007A4757">
      <w:pPr>
        <w:jc w:val="both"/>
        <w:rPr>
          <w:rFonts w:ascii="Arial" w:eastAsia="Arial" w:hAnsi="Arial" w:cs="Arial"/>
          <w:b/>
          <w:bCs/>
          <w:sz w:val="20"/>
          <w:szCs w:val="20"/>
        </w:rPr>
      </w:pPr>
    </w:p>
    <w:p w14:paraId="0FD8A183" w14:textId="26908DB9" w:rsidR="00023CDB" w:rsidRDefault="00023CDB" w:rsidP="007A4757">
      <w:pPr>
        <w:pStyle w:val="BodyText"/>
        <w:tabs>
          <w:tab w:val="left" w:pos="1040"/>
        </w:tabs>
        <w:ind w:right="245"/>
        <w:jc w:val="both"/>
      </w:pPr>
      <w:r>
        <w:t xml:space="preserve">As part of our overall stewardship responsibilities on behalf of our </w:t>
      </w:r>
      <w:r w:rsidR="00F66AD0">
        <w:t>investors, partners</w:t>
      </w:r>
      <w:r w:rsidR="00F722C7">
        <w:t>,</w:t>
      </w:r>
      <w:r>
        <w:t xml:space="preserve"> and clients</w:t>
      </w:r>
      <w:r w:rsidR="00F722C7">
        <w:t>,</w:t>
      </w:r>
      <w:r>
        <w:t xml:space="preserve"> we actively engage with invest</w:t>
      </w:r>
      <w:r w:rsidR="00E9128C">
        <w:t>ee</w:t>
      </w:r>
      <w:r>
        <w:t xml:space="preserve"> companies on corporate governance issues including the process </w:t>
      </w:r>
      <w:r w:rsidR="00F66AD0">
        <w:t xml:space="preserve">used </w:t>
      </w:r>
      <w:r>
        <w:t xml:space="preserve">to identify suitable candidates for the </w:t>
      </w:r>
      <w:r w:rsidR="00F66AD0">
        <w:t>Board</w:t>
      </w:r>
      <w:r>
        <w:t>.</w:t>
      </w:r>
    </w:p>
    <w:p w14:paraId="2B134374" w14:textId="77777777" w:rsidR="006B3F1A" w:rsidRDefault="006B3F1A" w:rsidP="007A4757">
      <w:pPr>
        <w:pStyle w:val="BodyText"/>
        <w:tabs>
          <w:tab w:val="left" w:pos="1040"/>
        </w:tabs>
        <w:ind w:right="245"/>
        <w:jc w:val="both"/>
      </w:pPr>
    </w:p>
    <w:p w14:paraId="0182208B" w14:textId="1299AB75" w:rsidR="002F44A1" w:rsidRDefault="00F722C7" w:rsidP="007A4757">
      <w:pPr>
        <w:pStyle w:val="BodyText"/>
        <w:tabs>
          <w:tab w:val="left" w:pos="1040"/>
        </w:tabs>
        <w:ind w:right="245"/>
        <w:jc w:val="both"/>
      </w:pPr>
      <w:proofErr w:type="gramStart"/>
      <w:r>
        <w:t>In order t</w:t>
      </w:r>
      <w:r w:rsidR="00023CDB">
        <w:t>o</w:t>
      </w:r>
      <w:proofErr w:type="gramEnd"/>
      <w:r w:rsidR="00023CDB">
        <w:t xml:space="preserve"> provide investors with a comprehensive understanding of an investee company’s diversity policies</w:t>
      </w:r>
      <w:r w:rsidR="00C6665C">
        <w:t>,</w:t>
      </w:r>
      <w:r w:rsidR="00023CDB">
        <w:t xml:space="preserve"> we </w:t>
      </w:r>
      <w:r w:rsidR="002F44A1">
        <w:t xml:space="preserve">are calling on </w:t>
      </w:r>
      <w:r w:rsidR="007C13B8">
        <w:t>companies to be transparent regarding</w:t>
      </w:r>
      <w:r w:rsidR="008C1532">
        <w:t xml:space="preserve"> their strategic management of diversity issues</w:t>
      </w:r>
      <w:r w:rsidR="002F44A1">
        <w:t>,</w:t>
      </w:r>
      <w:r>
        <w:t xml:space="preserve"> and</w:t>
      </w:r>
      <w:r w:rsidR="002F44A1">
        <w:t xml:space="preserve"> to monitor and disclose the level of gender diversity not only on their boards but at all levels of management. We believe that increased transparency and accountability will help create a stronger pipeline of qualified female board candidates.</w:t>
      </w:r>
    </w:p>
    <w:p w14:paraId="0EE25EE6" w14:textId="141C87C3" w:rsidR="002F44A1" w:rsidRDefault="002F44A1" w:rsidP="007A4757">
      <w:pPr>
        <w:pStyle w:val="BodyText"/>
        <w:tabs>
          <w:tab w:val="left" w:pos="1040"/>
        </w:tabs>
        <w:ind w:right="245"/>
        <w:jc w:val="both"/>
      </w:pPr>
    </w:p>
    <w:p w14:paraId="2590F18C" w14:textId="5BB8E814" w:rsidR="007A4757" w:rsidRDefault="007A4757" w:rsidP="007A4757">
      <w:pPr>
        <w:pStyle w:val="BodyText"/>
        <w:tabs>
          <w:tab w:val="left" w:pos="1040"/>
        </w:tabs>
        <w:ind w:right="245"/>
        <w:jc w:val="both"/>
      </w:pPr>
    </w:p>
    <w:p w14:paraId="5FAC3123" w14:textId="77777777" w:rsidR="007A4757" w:rsidRDefault="007A4757" w:rsidP="007A4757">
      <w:pPr>
        <w:pStyle w:val="BodyText"/>
        <w:tabs>
          <w:tab w:val="left" w:pos="1040"/>
        </w:tabs>
        <w:ind w:right="245"/>
        <w:jc w:val="both"/>
      </w:pPr>
    </w:p>
    <w:p w14:paraId="446F8DCA" w14:textId="77777777" w:rsidR="00DD1CC6" w:rsidRPr="0032085F" w:rsidRDefault="00AF6749" w:rsidP="007A4757">
      <w:pPr>
        <w:pStyle w:val="Heading1"/>
        <w:jc w:val="both"/>
      </w:pPr>
      <w:r w:rsidRPr="0032085F">
        <w:lastRenderedPageBreak/>
        <w:t>Engagement</w:t>
      </w:r>
      <w:r w:rsidR="002F44A1" w:rsidRPr="0032085F">
        <w:t xml:space="preserve"> with investee companies</w:t>
      </w:r>
    </w:p>
    <w:p w14:paraId="64A4EDAC" w14:textId="77777777" w:rsidR="00DD1CC6" w:rsidRPr="0013753D" w:rsidRDefault="00DD1CC6" w:rsidP="00B23A28">
      <w:pPr>
        <w:jc w:val="both"/>
        <w:rPr>
          <w:rFonts w:ascii="Arial" w:eastAsia="Arial" w:hAnsi="Arial" w:cs="Arial"/>
          <w:b/>
          <w:bCs/>
          <w:sz w:val="20"/>
          <w:szCs w:val="20"/>
        </w:rPr>
      </w:pPr>
    </w:p>
    <w:p w14:paraId="4FBAE15E" w14:textId="49D4BD87" w:rsidR="00500AF7" w:rsidRPr="00F66AD0" w:rsidRDefault="00C36B92" w:rsidP="007A4757">
      <w:pPr>
        <w:pStyle w:val="BodyText"/>
        <w:ind w:right="356"/>
        <w:jc w:val="both"/>
        <w:rPr>
          <w:spacing w:val="-1"/>
        </w:rPr>
      </w:pPr>
      <w:r>
        <w:t>As investors</w:t>
      </w:r>
      <w:r w:rsidR="00B26D6E">
        <w:t>,</w:t>
      </w:r>
      <w:r>
        <w:t xml:space="preserve"> we are committed to gender diversity as a stewardship priority in our engagements with investee companies. </w:t>
      </w:r>
      <w:r w:rsidR="004F01BC">
        <w:rPr>
          <w:spacing w:val="-1"/>
        </w:rPr>
        <w:t xml:space="preserve">We will seek to engage </w:t>
      </w:r>
      <w:r w:rsidR="00500AF7">
        <w:rPr>
          <w:spacing w:val="-1"/>
        </w:rPr>
        <w:t xml:space="preserve">with </w:t>
      </w:r>
      <w:r w:rsidR="00942192">
        <w:rPr>
          <w:spacing w:val="-1"/>
        </w:rPr>
        <w:t>companies</w:t>
      </w:r>
      <w:r w:rsidR="004F01BC">
        <w:rPr>
          <w:spacing w:val="-1"/>
        </w:rPr>
        <w:t xml:space="preserve"> </w:t>
      </w:r>
      <w:r w:rsidR="00500AF7">
        <w:rPr>
          <w:spacing w:val="-1"/>
        </w:rPr>
        <w:t xml:space="preserve">where there is evidence that there </w:t>
      </w:r>
      <w:r w:rsidR="00C97E1C">
        <w:rPr>
          <w:spacing w:val="-1"/>
        </w:rPr>
        <w:t xml:space="preserve">is a lack of gender diversity at the </w:t>
      </w:r>
      <w:r w:rsidR="00F66AD0">
        <w:rPr>
          <w:spacing w:val="-1"/>
        </w:rPr>
        <w:t xml:space="preserve">Board </w:t>
      </w:r>
      <w:r w:rsidR="00C97E1C">
        <w:rPr>
          <w:spacing w:val="-1"/>
        </w:rPr>
        <w:t>or in the company</w:t>
      </w:r>
      <w:r w:rsidR="00500AF7">
        <w:rPr>
          <w:spacing w:val="-1"/>
        </w:rPr>
        <w:t>.</w:t>
      </w:r>
      <w:r w:rsidR="004F01BC">
        <w:rPr>
          <w:spacing w:val="-1"/>
        </w:rPr>
        <w:t xml:space="preserve"> </w:t>
      </w:r>
      <w:r w:rsidR="004F01BC" w:rsidRPr="0079461E">
        <w:rPr>
          <w:spacing w:val="-1"/>
        </w:rPr>
        <w:t xml:space="preserve">Our aim is to build a constructive relationship with company </w:t>
      </w:r>
      <w:r w:rsidR="00F66AD0" w:rsidRPr="0079461E">
        <w:rPr>
          <w:spacing w:val="-1"/>
        </w:rPr>
        <w:t xml:space="preserve">Boards </w:t>
      </w:r>
      <w:r w:rsidR="004F01BC" w:rsidRPr="0079461E">
        <w:rPr>
          <w:spacing w:val="-1"/>
        </w:rPr>
        <w:t xml:space="preserve">and management </w:t>
      </w:r>
      <w:r w:rsidR="00B26D6E">
        <w:rPr>
          <w:spacing w:val="-1"/>
        </w:rPr>
        <w:t xml:space="preserve">teams in order </w:t>
      </w:r>
      <w:r w:rsidR="004F01BC" w:rsidRPr="0079461E">
        <w:rPr>
          <w:spacing w:val="-1"/>
        </w:rPr>
        <w:t>to foster a greater awareness and acceptance of the business value of diversity, reflected in greater diversity on boards and at companies over time.</w:t>
      </w:r>
    </w:p>
    <w:p w14:paraId="5CF872D4" w14:textId="6BE5FECD" w:rsidR="004360C5" w:rsidRDefault="004360C5" w:rsidP="007A4757">
      <w:pPr>
        <w:pStyle w:val="BodyText"/>
        <w:ind w:right="356"/>
        <w:jc w:val="both"/>
        <w:rPr>
          <w:spacing w:val="-1"/>
        </w:rPr>
      </w:pPr>
    </w:p>
    <w:p w14:paraId="716CFEAC" w14:textId="77777777" w:rsidR="007A4757" w:rsidRPr="00F66AD0" w:rsidRDefault="007A4757" w:rsidP="007A4757">
      <w:pPr>
        <w:pStyle w:val="BodyText"/>
        <w:ind w:right="356"/>
        <w:jc w:val="both"/>
        <w:rPr>
          <w:spacing w:val="-1"/>
        </w:rPr>
      </w:pPr>
    </w:p>
    <w:p w14:paraId="69D3A204" w14:textId="77777777" w:rsidR="00C36B92" w:rsidRDefault="00C36B92" w:rsidP="00B23A28">
      <w:pPr>
        <w:pStyle w:val="Heading1"/>
        <w:jc w:val="both"/>
      </w:pPr>
      <w:r>
        <w:t xml:space="preserve">Duties as Owner or Fiduciary </w:t>
      </w:r>
    </w:p>
    <w:p w14:paraId="2703EC0B" w14:textId="77777777" w:rsidR="00C36B92" w:rsidRDefault="00C36B92" w:rsidP="007A4757">
      <w:pPr>
        <w:pStyle w:val="BodyText"/>
        <w:ind w:right="356"/>
        <w:jc w:val="both"/>
      </w:pPr>
    </w:p>
    <w:p w14:paraId="6E0007B9" w14:textId="77777777" w:rsidR="00C36B92" w:rsidRDefault="00C36B92" w:rsidP="007A4757">
      <w:pPr>
        <w:pStyle w:val="BodyText"/>
        <w:ind w:right="356"/>
        <w:jc w:val="both"/>
      </w:pPr>
      <w:r>
        <w:t xml:space="preserve">There are a range of tools available to each investor to advance towards the diversity-related targets. Some members may choose to vote against the (re)election of </w:t>
      </w:r>
      <w:r>
        <w:rPr>
          <w:spacing w:val="-1"/>
        </w:rPr>
        <w:t>the Chair of the Board or Nomination Committee</w:t>
      </w:r>
      <w:r>
        <w:t xml:space="preserve"> or directors of the board. In particularly some members may exercise their voting rights where there continue to be no evidence of board diversity, and engagement with the board has not led to any satisfactory outcome. </w:t>
      </w:r>
    </w:p>
    <w:p w14:paraId="1C21B4D9" w14:textId="7D730497" w:rsidR="00C36B92" w:rsidRDefault="00C36B92" w:rsidP="007A4757">
      <w:pPr>
        <w:pStyle w:val="BodyText"/>
        <w:ind w:right="356"/>
        <w:jc w:val="both"/>
      </w:pPr>
    </w:p>
    <w:p w14:paraId="40841BA7" w14:textId="77777777" w:rsidR="007A4757" w:rsidRDefault="007A4757" w:rsidP="007A4757">
      <w:pPr>
        <w:pStyle w:val="BodyText"/>
        <w:ind w:right="356"/>
        <w:jc w:val="both"/>
      </w:pPr>
    </w:p>
    <w:p w14:paraId="1F6CA141" w14:textId="77777777" w:rsidR="00C36B92" w:rsidRDefault="00C36B92" w:rsidP="00B23A28">
      <w:pPr>
        <w:pStyle w:val="Heading1"/>
        <w:jc w:val="both"/>
      </w:pPr>
      <w:r>
        <w:t xml:space="preserve">Reporting </w:t>
      </w:r>
    </w:p>
    <w:p w14:paraId="2599F605" w14:textId="77777777" w:rsidR="00C36B92" w:rsidRDefault="00C36B92" w:rsidP="007A4757">
      <w:pPr>
        <w:pStyle w:val="BodyText"/>
        <w:ind w:right="356"/>
        <w:jc w:val="both"/>
      </w:pPr>
    </w:p>
    <w:p w14:paraId="5A67C00E" w14:textId="54D77928" w:rsidR="00C05D7E" w:rsidRDefault="00C36B92" w:rsidP="007A4757">
      <w:pPr>
        <w:pStyle w:val="BodyText"/>
        <w:ind w:right="356"/>
        <w:jc w:val="both"/>
      </w:pPr>
      <w:r>
        <w:t xml:space="preserve">We are committed to reporting on a regular basis. </w:t>
      </w:r>
      <w:r w:rsidR="004A6E8E">
        <w:t>As much as possible and i</w:t>
      </w:r>
      <w:r w:rsidR="00C05D7E">
        <w:t xml:space="preserve">n accordance with </w:t>
      </w:r>
      <w:r w:rsidR="004A6E8E">
        <w:t>our own company guidelines, w</w:t>
      </w:r>
      <w:r>
        <w:t>e will report on our engagement and voting activity</w:t>
      </w:r>
      <w:r w:rsidR="00B26D6E">
        <w:t>,</w:t>
      </w:r>
      <w:r>
        <w:t xml:space="preserve"> as well as provide examples of companies that champion the adoption of best practices. Ultimately, we will report on our progress measured against our established targets. </w:t>
      </w:r>
    </w:p>
    <w:p w14:paraId="7BF0DD91" w14:textId="2725A6D1" w:rsidR="00C05D7E" w:rsidRDefault="00C05D7E" w:rsidP="007A4757">
      <w:pPr>
        <w:pStyle w:val="BodyText"/>
        <w:ind w:right="356"/>
        <w:jc w:val="both"/>
      </w:pPr>
    </w:p>
    <w:p w14:paraId="6A7D6EE6" w14:textId="77777777" w:rsidR="007A4757" w:rsidRDefault="007A4757" w:rsidP="007A4757">
      <w:pPr>
        <w:pStyle w:val="BodyText"/>
        <w:ind w:right="356"/>
        <w:jc w:val="both"/>
      </w:pPr>
    </w:p>
    <w:p w14:paraId="0818204E" w14:textId="2C53524A" w:rsidR="004A6E8E" w:rsidRDefault="00C36B92" w:rsidP="00B23A28">
      <w:pPr>
        <w:pStyle w:val="Heading1"/>
        <w:jc w:val="both"/>
      </w:pPr>
      <w:r>
        <w:t>Compliance with Laws</w:t>
      </w:r>
      <w:r w:rsidR="00B26D6E">
        <w:t xml:space="preserve"> and other Obligations</w:t>
      </w:r>
      <w:r>
        <w:t xml:space="preserve"> </w:t>
      </w:r>
    </w:p>
    <w:p w14:paraId="1C4DF41C" w14:textId="77777777" w:rsidR="004A6E8E" w:rsidRDefault="004A6E8E" w:rsidP="007A4757">
      <w:pPr>
        <w:pStyle w:val="BodyText"/>
        <w:ind w:right="356"/>
        <w:jc w:val="both"/>
      </w:pPr>
    </w:p>
    <w:p w14:paraId="1FECBF77" w14:textId="1388AFDC" w:rsidR="00DD1CC6" w:rsidRDefault="00C36B92" w:rsidP="00B23A28">
      <w:pPr>
        <w:pStyle w:val="BodyText"/>
        <w:ind w:right="356"/>
        <w:jc w:val="both"/>
      </w:pPr>
      <w:r>
        <w:t xml:space="preserve">The Investment Group is committed to adhering strictly to any confidentiality obligations as well as to the letter and spirit of relevant antitrust laws. Under no circumstances shall the Investor Group be used as a means for competing companies to reach any understanding, expressed or implied, which tends to restrict competition, or in any way, to impair the ability of members to exercise independent business judgment regarding matters affecting competition. While engaging in these activities, members of the Investor Group should avoid sharing any confidential information about investees with competitors, or share information about how voting rights are exercised to the extent that this is subject to a confidentiality obligation or matters involving any element of competition and shall be expected to take any action, in its sole discretion, in accordance with its own policies and procedures, including those relating to confidentiality obligations and antitrust laws. Public institutions are to engage </w:t>
      </w:r>
      <w:r w:rsidR="00B26D6E">
        <w:t xml:space="preserve">in </w:t>
      </w:r>
      <w:r>
        <w:t xml:space="preserve">the activities </w:t>
      </w:r>
      <w:r w:rsidR="00B26D6E">
        <w:t>in full compliance with relevant</w:t>
      </w:r>
      <w:r>
        <w:t xml:space="preserve"> laws and regulations.</w:t>
      </w:r>
    </w:p>
    <w:p w14:paraId="5C980F9C" w14:textId="6B7A60AB" w:rsidR="0032085F" w:rsidRDefault="0032085F" w:rsidP="0032085F">
      <w:pPr>
        <w:pStyle w:val="BodyText"/>
        <w:ind w:right="356"/>
        <w:jc w:val="both"/>
      </w:pPr>
    </w:p>
    <w:p w14:paraId="50DB5F94" w14:textId="4F5BD3DF" w:rsidR="0032085F" w:rsidRDefault="0032085F" w:rsidP="007A4757">
      <w:pPr>
        <w:pStyle w:val="BodyText"/>
        <w:ind w:right="356"/>
        <w:jc w:val="center"/>
      </w:pPr>
      <w:r>
        <w:t>***</w:t>
      </w:r>
    </w:p>
    <w:sectPr w:rsidR="0032085F" w:rsidSect="004360C5">
      <w:headerReference w:type="default" r:id="rId11"/>
      <w:footerReference w:type="default" r:id="rId12"/>
      <w:pgSz w:w="11910" w:h="16840"/>
      <w:pgMar w:top="2740" w:right="1200" w:bottom="1180" w:left="1120" w:header="48"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9BF7" w14:textId="77777777" w:rsidR="00AD22B1" w:rsidRDefault="00AD22B1">
      <w:r>
        <w:separator/>
      </w:r>
    </w:p>
  </w:endnote>
  <w:endnote w:type="continuationSeparator" w:id="0">
    <w:p w14:paraId="4109ACD4" w14:textId="77777777" w:rsidR="00AD22B1" w:rsidRDefault="00AD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5397" w14:textId="77777777" w:rsidR="00DD1CC6" w:rsidRDefault="001316F0">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CC72724" wp14:editId="1F354761">
              <wp:simplePos x="0" y="0"/>
              <wp:positionH relativeFrom="page">
                <wp:posOffset>6539865</wp:posOffset>
              </wp:positionH>
              <wp:positionV relativeFrom="page">
                <wp:posOffset>9926320</wp:posOffset>
              </wp:positionV>
              <wp:extent cx="12954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537AA" w14:textId="77777777" w:rsidR="00DD1CC6" w:rsidRDefault="00AF6749">
                          <w:pPr>
                            <w:pStyle w:val="BodyText"/>
                            <w:spacing w:line="246" w:lineRule="exact"/>
                            <w:ind w:left="40"/>
                            <w:rPr>
                              <w:rFonts w:ascii="Georgia" w:eastAsia="Georgia" w:hAnsi="Georgia" w:cs="Georgia"/>
                            </w:rPr>
                          </w:pPr>
                          <w:r>
                            <w:fldChar w:fldCharType="begin"/>
                          </w:r>
                          <w:r>
                            <w:rPr>
                              <w:rFonts w:ascii="Georgia"/>
                            </w:rPr>
                            <w:instrText xml:space="preserve"> PAGE </w:instrText>
                          </w:r>
                          <w:r>
                            <w:fldChar w:fldCharType="separate"/>
                          </w:r>
                          <w:r w:rsidR="0079461E">
                            <w:rPr>
                              <w:rFonts w:ascii="Georg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2724" id="_x0000_t202" coordsize="21600,21600" o:spt="202" path="m,l,21600r21600,l21600,xe">
              <v:stroke joinstyle="miter"/>
              <v:path gradientshapeok="t" o:connecttype="rect"/>
            </v:shapetype>
            <v:shape id="Text Box 1" o:spid="_x0000_s1026" type="#_x0000_t202" style="position:absolute;margin-left:514.95pt;margin-top:781.6pt;width:10.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" filled="f" stroked="f">
              <v:textbox inset="0,0,0,0">
                <w:txbxContent>
                  <w:p w14:paraId="784537AA" w14:textId="77777777" w:rsidR="00DD1CC6" w:rsidRDefault="00AF6749">
                    <w:pPr>
                      <w:pStyle w:val="BodyText"/>
                      <w:spacing w:line="246" w:lineRule="exact"/>
                      <w:ind w:left="40"/>
                      <w:rPr>
                        <w:rFonts w:ascii="Georgia" w:eastAsia="Georgia" w:hAnsi="Georgia" w:cs="Georgia"/>
                      </w:rPr>
                    </w:pPr>
                    <w:r>
                      <w:fldChar w:fldCharType="begin"/>
                    </w:r>
                    <w:r>
                      <w:rPr>
                        <w:rFonts w:ascii="Georgia"/>
                      </w:rPr>
                      <w:instrText xml:space="preserve"> PAGE </w:instrText>
                    </w:r>
                    <w:r>
                      <w:fldChar w:fldCharType="separate"/>
                    </w:r>
                    <w:r w:rsidR="0079461E">
                      <w:rPr>
                        <w:rFonts w:ascii="Georg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4EBB" w14:textId="77777777" w:rsidR="00AD22B1" w:rsidRDefault="00AD22B1">
      <w:r>
        <w:separator/>
      </w:r>
    </w:p>
  </w:footnote>
  <w:footnote w:type="continuationSeparator" w:id="0">
    <w:p w14:paraId="4AB5CE02" w14:textId="77777777" w:rsidR="00AD22B1" w:rsidRDefault="00AD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DE35" w14:textId="75B36F63" w:rsidR="006B3F1A" w:rsidRDefault="007A4757">
    <w:pPr>
      <w:spacing w:line="14" w:lineRule="auto"/>
      <w:rPr>
        <w:noProof/>
      </w:rPr>
    </w:pPr>
    <w:sdt>
      <w:sdtPr>
        <w:rPr>
          <w:sz w:val="20"/>
          <w:szCs w:val="20"/>
        </w:rPr>
        <w:id w:val="-1702004408"/>
        <w:docPartObj>
          <w:docPartGallery w:val="Watermarks"/>
          <w:docPartUnique/>
        </w:docPartObj>
      </w:sdtPr>
      <w:sdtEndPr/>
      <w:sdtContent>
        <w:r>
          <w:rPr>
            <w:noProof/>
            <w:sz w:val="20"/>
            <w:szCs w:val="20"/>
            <w:lang w:eastAsia="zh-TW"/>
          </w:rPr>
          <w:pict w14:anchorId="2B182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3F1A" w:rsidRPr="006B3F1A">
      <w:rPr>
        <w:noProof/>
      </w:rPr>
      <w:t xml:space="preserve"> </w:t>
    </w:r>
    <w:r w:rsidR="006B3F1A">
      <w:rPr>
        <w:noProof/>
      </w:rPr>
      <w:t xml:space="preserve">                                                                                                                        </w:t>
    </w:r>
  </w:p>
  <w:p w14:paraId="04D6AB3D" w14:textId="77777777" w:rsidR="006B3F1A" w:rsidRDefault="006B3F1A">
    <w:pPr>
      <w:spacing w:line="14" w:lineRule="auto"/>
      <w:rPr>
        <w:noProof/>
      </w:rPr>
    </w:pPr>
  </w:p>
  <w:p w14:paraId="3A73F271" w14:textId="77777777" w:rsidR="006B3F1A" w:rsidRDefault="006B3F1A">
    <w:pPr>
      <w:spacing w:line="14" w:lineRule="auto"/>
      <w:rPr>
        <w:noProof/>
      </w:rPr>
    </w:pPr>
  </w:p>
  <w:p w14:paraId="0D28A422" w14:textId="77777777" w:rsidR="006B3F1A" w:rsidRDefault="006B3F1A">
    <w:pPr>
      <w:spacing w:line="14" w:lineRule="auto"/>
      <w:rPr>
        <w:noProof/>
      </w:rPr>
    </w:pPr>
  </w:p>
  <w:p w14:paraId="6B2D5FFA" w14:textId="77777777" w:rsidR="006B3F1A" w:rsidRDefault="006B3F1A">
    <w:pPr>
      <w:spacing w:line="14" w:lineRule="auto"/>
      <w:rPr>
        <w:noProof/>
      </w:rPr>
    </w:pPr>
  </w:p>
  <w:p w14:paraId="46C7D96E" w14:textId="77777777" w:rsidR="006B3F1A" w:rsidRDefault="006B3F1A">
    <w:pPr>
      <w:spacing w:line="14" w:lineRule="auto"/>
      <w:rPr>
        <w:noProof/>
      </w:rPr>
    </w:pPr>
  </w:p>
  <w:p w14:paraId="7BED221B" w14:textId="77777777" w:rsidR="006B3F1A" w:rsidRDefault="006B3F1A">
    <w:pPr>
      <w:spacing w:line="14" w:lineRule="auto"/>
      <w:rPr>
        <w:noProof/>
      </w:rPr>
    </w:pPr>
  </w:p>
  <w:p w14:paraId="53425B25" w14:textId="77777777" w:rsidR="006B3F1A" w:rsidRDefault="006B3F1A">
    <w:pPr>
      <w:spacing w:line="14" w:lineRule="auto"/>
      <w:rPr>
        <w:noProof/>
      </w:rPr>
    </w:pPr>
  </w:p>
  <w:p w14:paraId="33AF8584" w14:textId="77777777" w:rsidR="006B3F1A" w:rsidRDefault="006B3F1A">
    <w:pPr>
      <w:spacing w:line="14" w:lineRule="auto"/>
      <w:rPr>
        <w:noProof/>
      </w:rPr>
    </w:pPr>
  </w:p>
  <w:p w14:paraId="6FA1E215" w14:textId="77777777" w:rsidR="006B3F1A" w:rsidRDefault="006B3F1A">
    <w:pPr>
      <w:spacing w:line="14" w:lineRule="auto"/>
      <w:rPr>
        <w:noProof/>
      </w:rPr>
    </w:pPr>
  </w:p>
  <w:p w14:paraId="306B2442" w14:textId="77777777" w:rsidR="006B3F1A" w:rsidRDefault="006B3F1A">
    <w:pPr>
      <w:spacing w:line="14" w:lineRule="auto"/>
      <w:rPr>
        <w:noProof/>
      </w:rPr>
    </w:pPr>
  </w:p>
  <w:p w14:paraId="1FBE4802" w14:textId="77777777" w:rsidR="006B3F1A" w:rsidRDefault="006B3F1A">
    <w:pPr>
      <w:spacing w:line="14" w:lineRule="auto"/>
      <w:rPr>
        <w:noProof/>
      </w:rPr>
    </w:pPr>
    <w:r>
      <w:rPr>
        <w:noProof/>
      </w:rPr>
      <w:t xml:space="preserve">                                                                                                                      </w:t>
    </w:r>
  </w:p>
  <w:p w14:paraId="7FA93E89" w14:textId="77777777" w:rsidR="006B3F1A" w:rsidRDefault="006B3F1A">
    <w:pPr>
      <w:spacing w:line="14" w:lineRule="auto"/>
      <w:rPr>
        <w:noProof/>
      </w:rPr>
    </w:pPr>
  </w:p>
  <w:p w14:paraId="1AD11D8F" w14:textId="77777777" w:rsidR="006B3F1A" w:rsidRDefault="006B3F1A">
    <w:pPr>
      <w:spacing w:line="14" w:lineRule="auto"/>
      <w:rPr>
        <w:noProof/>
      </w:rPr>
    </w:pPr>
  </w:p>
  <w:p w14:paraId="6367C04D" w14:textId="77777777" w:rsidR="006B3F1A" w:rsidRDefault="006B3F1A">
    <w:pPr>
      <w:spacing w:line="14" w:lineRule="auto"/>
      <w:rPr>
        <w:noProof/>
      </w:rPr>
    </w:pPr>
  </w:p>
  <w:p w14:paraId="1E494382" w14:textId="77777777" w:rsidR="006B3F1A" w:rsidRDefault="006B3F1A">
    <w:pPr>
      <w:spacing w:line="14" w:lineRule="auto"/>
      <w:rPr>
        <w:noProof/>
      </w:rPr>
    </w:pPr>
  </w:p>
  <w:p w14:paraId="7BAF9D87" w14:textId="77777777" w:rsidR="006B3F1A" w:rsidRDefault="006B3F1A">
    <w:pPr>
      <w:spacing w:line="14" w:lineRule="auto"/>
      <w:rPr>
        <w:noProof/>
      </w:rPr>
    </w:pPr>
  </w:p>
  <w:p w14:paraId="1B3B32F0" w14:textId="77777777" w:rsidR="006B3F1A" w:rsidRDefault="006B3F1A">
    <w:pPr>
      <w:spacing w:line="14" w:lineRule="auto"/>
      <w:rPr>
        <w:noProof/>
      </w:rPr>
    </w:pPr>
  </w:p>
  <w:p w14:paraId="491DF46F" w14:textId="77777777" w:rsidR="006B3F1A" w:rsidRDefault="006B3F1A">
    <w:pPr>
      <w:spacing w:line="14" w:lineRule="auto"/>
      <w:rPr>
        <w:noProof/>
      </w:rPr>
    </w:pPr>
  </w:p>
  <w:p w14:paraId="1D371899" w14:textId="77777777" w:rsidR="006B3F1A" w:rsidRDefault="006B3F1A">
    <w:pPr>
      <w:spacing w:line="14" w:lineRule="auto"/>
      <w:rPr>
        <w:noProof/>
      </w:rPr>
    </w:pPr>
  </w:p>
  <w:p w14:paraId="65B769FD" w14:textId="77777777" w:rsidR="006B3F1A" w:rsidRDefault="006B3F1A">
    <w:pPr>
      <w:spacing w:line="14" w:lineRule="auto"/>
      <w:rPr>
        <w:noProof/>
      </w:rPr>
    </w:pPr>
  </w:p>
  <w:p w14:paraId="486A08E5" w14:textId="3004BB74" w:rsidR="006B3F1A" w:rsidRDefault="006B3F1A">
    <w:pPr>
      <w:spacing w:line="14" w:lineRule="auto"/>
      <w:rPr>
        <w:noProof/>
      </w:rPr>
    </w:pPr>
  </w:p>
  <w:p w14:paraId="26E407F1" w14:textId="6CAF2A90" w:rsidR="006B3F1A" w:rsidRDefault="006B3F1A">
    <w:pPr>
      <w:spacing w:line="14" w:lineRule="auto"/>
      <w:rPr>
        <w:noProof/>
      </w:rPr>
    </w:pPr>
  </w:p>
  <w:p w14:paraId="15117EB9" w14:textId="77777777" w:rsidR="006B3F1A" w:rsidRDefault="006B3F1A">
    <w:pPr>
      <w:spacing w:line="14" w:lineRule="auto"/>
      <w:rPr>
        <w:noProof/>
      </w:rPr>
    </w:pPr>
  </w:p>
  <w:p w14:paraId="5B372E56" w14:textId="77777777" w:rsidR="006B3F1A" w:rsidRDefault="006B3F1A">
    <w:pPr>
      <w:spacing w:line="14" w:lineRule="auto"/>
      <w:rPr>
        <w:noProof/>
      </w:rPr>
    </w:pPr>
  </w:p>
  <w:p w14:paraId="6EF97CBF" w14:textId="77777777" w:rsidR="006B3F1A" w:rsidRDefault="006B3F1A">
    <w:pPr>
      <w:spacing w:line="14" w:lineRule="auto"/>
      <w:rPr>
        <w:noProof/>
      </w:rPr>
    </w:pPr>
  </w:p>
  <w:p w14:paraId="74338D9D" w14:textId="77777777" w:rsidR="006B3F1A" w:rsidRDefault="006B3F1A">
    <w:pPr>
      <w:spacing w:line="14" w:lineRule="auto"/>
      <w:rPr>
        <w:noProof/>
      </w:rPr>
    </w:pPr>
  </w:p>
  <w:p w14:paraId="430B922F" w14:textId="1700C5A9" w:rsidR="00DD1CC6" w:rsidRDefault="007A4757">
    <w:pPr>
      <w:spacing w:line="14" w:lineRule="auto"/>
      <w:rPr>
        <w:sz w:val="20"/>
        <w:szCs w:val="20"/>
      </w:rPr>
    </w:pPr>
    <w:r>
      <w:rPr>
        <w:noProof/>
      </w:rPr>
      <w:drawing>
        <wp:anchor distT="0" distB="0" distL="114300" distR="114300" simplePos="0" relativeHeight="251655680" behindDoc="1" locked="0" layoutInCell="1" allowOverlap="1" wp14:anchorId="07576761" wp14:editId="6F61BEED">
          <wp:simplePos x="0" y="0"/>
          <wp:positionH relativeFrom="page">
            <wp:posOffset>895350</wp:posOffset>
          </wp:positionH>
          <wp:positionV relativeFrom="page">
            <wp:posOffset>661670</wp:posOffset>
          </wp:positionV>
          <wp:extent cx="1333500" cy="7664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66445"/>
                  </a:xfrm>
                  <a:prstGeom prst="rect">
                    <a:avLst/>
                  </a:prstGeom>
                  <a:noFill/>
                </pic:spPr>
              </pic:pic>
            </a:graphicData>
          </a:graphic>
          <wp14:sizeRelH relativeFrom="page">
            <wp14:pctWidth>0</wp14:pctWidth>
          </wp14:sizeRelH>
          <wp14:sizeRelV relativeFrom="page">
            <wp14:pctHeight>0</wp14:pctHeight>
          </wp14:sizeRelV>
        </wp:anchor>
      </w:drawing>
    </w:r>
    <w:r w:rsidR="006B3F1A">
      <w:rPr>
        <w:noProof/>
      </w:rPr>
      <w:t xml:space="preserve">                                                                </w:t>
    </w:r>
    <w:r w:rsidR="00614F7D">
      <w:rPr>
        <w:noProof/>
      </w:rPr>
      <w:t xml:space="preserve">  </w:t>
    </w:r>
    <w:r w:rsidR="006B3F1A">
      <w:rPr>
        <w:noProof/>
      </w:rPr>
      <w:t xml:space="preserve">                   </w:t>
    </w:r>
    <w:r w:rsidR="00614F7D">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08EB"/>
    <w:multiLevelType w:val="hybridMultilevel"/>
    <w:tmpl w:val="B35AF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7A5967"/>
    <w:multiLevelType w:val="hybridMultilevel"/>
    <w:tmpl w:val="FFF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C4AD5"/>
    <w:multiLevelType w:val="hybridMultilevel"/>
    <w:tmpl w:val="1B0CED68"/>
    <w:lvl w:ilvl="0" w:tplc="0C090001">
      <w:start w:val="1"/>
      <w:numFmt w:val="bullet"/>
      <w:lvlText w:val=""/>
      <w:lvlJc w:val="left"/>
      <w:pPr>
        <w:ind w:left="1108" w:hanging="360"/>
      </w:pPr>
      <w:rPr>
        <w:rFonts w:ascii="Symbol" w:hAnsi="Symbol" w:hint="default"/>
      </w:rPr>
    </w:lvl>
    <w:lvl w:ilvl="1" w:tplc="0C090003" w:tentative="1">
      <w:start w:val="1"/>
      <w:numFmt w:val="bullet"/>
      <w:lvlText w:val="o"/>
      <w:lvlJc w:val="left"/>
      <w:pPr>
        <w:ind w:left="1828" w:hanging="360"/>
      </w:pPr>
      <w:rPr>
        <w:rFonts w:ascii="Courier New" w:hAnsi="Courier New" w:cs="Courier New" w:hint="default"/>
      </w:rPr>
    </w:lvl>
    <w:lvl w:ilvl="2" w:tplc="0C090005" w:tentative="1">
      <w:start w:val="1"/>
      <w:numFmt w:val="bullet"/>
      <w:lvlText w:val=""/>
      <w:lvlJc w:val="left"/>
      <w:pPr>
        <w:ind w:left="2548" w:hanging="360"/>
      </w:pPr>
      <w:rPr>
        <w:rFonts w:ascii="Wingdings" w:hAnsi="Wingdings" w:hint="default"/>
      </w:rPr>
    </w:lvl>
    <w:lvl w:ilvl="3" w:tplc="0C090001" w:tentative="1">
      <w:start w:val="1"/>
      <w:numFmt w:val="bullet"/>
      <w:lvlText w:val=""/>
      <w:lvlJc w:val="left"/>
      <w:pPr>
        <w:ind w:left="3268" w:hanging="360"/>
      </w:pPr>
      <w:rPr>
        <w:rFonts w:ascii="Symbol" w:hAnsi="Symbol" w:hint="default"/>
      </w:rPr>
    </w:lvl>
    <w:lvl w:ilvl="4" w:tplc="0C090003" w:tentative="1">
      <w:start w:val="1"/>
      <w:numFmt w:val="bullet"/>
      <w:lvlText w:val="o"/>
      <w:lvlJc w:val="left"/>
      <w:pPr>
        <w:ind w:left="3988" w:hanging="360"/>
      </w:pPr>
      <w:rPr>
        <w:rFonts w:ascii="Courier New" w:hAnsi="Courier New" w:cs="Courier New" w:hint="default"/>
      </w:rPr>
    </w:lvl>
    <w:lvl w:ilvl="5" w:tplc="0C090005" w:tentative="1">
      <w:start w:val="1"/>
      <w:numFmt w:val="bullet"/>
      <w:lvlText w:val=""/>
      <w:lvlJc w:val="left"/>
      <w:pPr>
        <w:ind w:left="4708" w:hanging="360"/>
      </w:pPr>
      <w:rPr>
        <w:rFonts w:ascii="Wingdings" w:hAnsi="Wingdings" w:hint="default"/>
      </w:rPr>
    </w:lvl>
    <w:lvl w:ilvl="6" w:tplc="0C090001" w:tentative="1">
      <w:start w:val="1"/>
      <w:numFmt w:val="bullet"/>
      <w:lvlText w:val=""/>
      <w:lvlJc w:val="left"/>
      <w:pPr>
        <w:ind w:left="5428" w:hanging="360"/>
      </w:pPr>
      <w:rPr>
        <w:rFonts w:ascii="Symbol" w:hAnsi="Symbol" w:hint="default"/>
      </w:rPr>
    </w:lvl>
    <w:lvl w:ilvl="7" w:tplc="0C090003" w:tentative="1">
      <w:start w:val="1"/>
      <w:numFmt w:val="bullet"/>
      <w:lvlText w:val="o"/>
      <w:lvlJc w:val="left"/>
      <w:pPr>
        <w:ind w:left="6148" w:hanging="360"/>
      </w:pPr>
      <w:rPr>
        <w:rFonts w:ascii="Courier New" w:hAnsi="Courier New" w:cs="Courier New" w:hint="default"/>
      </w:rPr>
    </w:lvl>
    <w:lvl w:ilvl="8" w:tplc="0C090005" w:tentative="1">
      <w:start w:val="1"/>
      <w:numFmt w:val="bullet"/>
      <w:lvlText w:val=""/>
      <w:lvlJc w:val="left"/>
      <w:pPr>
        <w:ind w:left="6868" w:hanging="360"/>
      </w:pPr>
      <w:rPr>
        <w:rFonts w:ascii="Wingdings" w:hAnsi="Wingdings" w:hint="default"/>
      </w:rPr>
    </w:lvl>
  </w:abstractNum>
  <w:abstractNum w:abstractNumId="3" w15:restartNumberingAfterBreak="0">
    <w:nsid w:val="76532CF6"/>
    <w:multiLevelType w:val="hybridMultilevel"/>
    <w:tmpl w:val="06A2D74C"/>
    <w:lvl w:ilvl="0" w:tplc="FB3821D8">
      <w:start w:val="1"/>
      <w:numFmt w:val="bullet"/>
      <w:lvlText w:val=""/>
      <w:lvlJc w:val="left"/>
      <w:pPr>
        <w:ind w:left="1040" w:hanging="360"/>
      </w:pPr>
      <w:rPr>
        <w:rFonts w:ascii="Symbol" w:eastAsia="Symbol" w:hAnsi="Symbol" w:hint="default"/>
        <w:sz w:val="22"/>
        <w:szCs w:val="22"/>
      </w:rPr>
    </w:lvl>
    <w:lvl w:ilvl="1" w:tplc="C0169C98">
      <w:start w:val="1"/>
      <w:numFmt w:val="bullet"/>
      <w:lvlText w:val="•"/>
      <w:lvlJc w:val="left"/>
      <w:pPr>
        <w:ind w:left="1894" w:hanging="360"/>
      </w:pPr>
      <w:rPr>
        <w:rFonts w:hint="default"/>
      </w:rPr>
    </w:lvl>
    <w:lvl w:ilvl="2" w:tplc="E2EAE850">
      <w:start w:val="1"/>
      <w:numFmt w:val="bullet"/>
      <w:lvlText w:val="•"/>
      <w:lvlJc w:val="left"/>
      <w:pPr>
        <w:ind w:left="2748" w:hanging="360"/>
      </w:pPr>
      <w:rPr>
        <w:rFonts w:hint="default"/>
      </w:rPr>
    </w:lvl>
    <w:lvl w:ilvl="3" w:tplc="CA7A23E0">
      <w:start w:val="1"/>
      <w:numFmt w:val="bullet"/>
      <w:lvlText w:val="•"/>
      <w:lvlJc w:val="left"/>
      <w:pPr>
        <w:ind w:left="3603" w:hanging="360"/>
      </w:pPr>
      <w:rPr>
        <w:rFonts w:hint="default"/>
      </w:rPr>
    </w:lvl>
    <w:lvl w:ilvl="4" w:tplc="BB2C3074">
      <w:start w:val="1"/>
      <w:numFmt w:val="bullet"/>
      <w:lvlText w:val="•"/>
      <w:lvlJc w:val="left"/>
      <w:pPr>
        <w:ind w:left="4457" w:hanging="360"/>
      </w:pPr>
      <w:rPr>
        <w:rFonts w:hint="default"/>
      </w:rPr>
    </w:lvl>
    <w:lvl w:ilvl="5" w:tplc="4C2215A0">
      <w:start w:val="1"/>
      <w:numFmt w:val="bullet"/>
      <w:lvlText w:val="•"/>
      <w:lvlJc w:val="left"/>
      <w:pPr>
        <w:ind w:left="5312" w:hanging="360"/>
      </w:pPr>
      <w:rPr>
        <w:rFonts w:hint="default"/>
      </w:rPr>
    </w:lvl>
    <w:lvl w:ilvl="6" w:tplc="0096E616">
      <w:start w:val="1"/>
      <w:numFmt w:val="bullet"/>
      <w:lvlText w:val="•"/>
      <w:lvlJc w:val="left"/>
      <w:pPr>
        <w:ind w:left="6166" w:hanging="360"/>
      </w:pPr>
      <w:rPr>
        <w:rFonts w:hint="default"/>
      </w:rPr>
    </w:lvl>
    <w:lvl w:ilvl="7" w:tplc="60B68ECC">
      <w:start w:val="1"/>
      <w:numFmt w:val="bullet"/>
      <w:lvlText w:val="•"/>
      <w:lvlJc w:val="left"/>
      <w:pPr>
        <w:ind w:left="7020" w:hanging="360"/>
      </w:pPr>
      <w:rPr>
        <w:rFonts w:hint="default"/>
      </w:rPr>
    </w:lvl>
    <w:lvl w:ilvl="8" w:tplc="C694D214">
      <w:start w:val="1"/>
      <w:numFmt w:val="bullet"/>
      <w:lvlText w:val="•"/>
      <w:lvlJc w:val="left"/>
      <w:pPr>
        <w:ind w:left="7875"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DD1CC6"/>
    <w:rsid w:val="00023CDB"/>
    <w:rsid w:val="00056DBB"/>
    <w:rsid w:val="000C7E9B"/>
    <w:rsid w:val="001316F0"/>
    <w:rsid w:val="0013753D"/>
    <w:rsid w:val="001519A5"/>
    <w:rsid w:val="00165FAB"/>
    <w:rsid w:val="001B19A8"/>
    <w:rsid w:val="00280F43"/>
    <w:rsid w:val="002840AC"/>
    <w:rsid w:val="002F44A1"/>
    <w:rsid w:val="0032085F"/>
    <w:rsid w:val="00385A0E"/>
    <w:rsid w:val="003D58E5"/>
    <w:rsid w:val="00400F52"/>
    <w:rsid w:val="004360C5"/>
    <w:rsid w:val="0045105A"/>
    <w:rsid w:val="004A6E8E"/>
    <w:rsid w:val="004B3C8C"/>
    <w:rsid w:val="004F01BC"/>
    <w:rsid w:val="00500AF7"/>
    <w:rsid w:val="00525A5A"/>
    <w:rsid w:val="00602033"/>
    <w:rsid w:val="00614F7D"/>
    <w:rsid w:val="0064356B"/>
    <w:rsid w:val="006654EE"/>
    <w:rsid w:val="006B23D9"/>
    <w:rsid w:val="006B3F1A"/>
    <w:rsid w:val="00754E5B"/>
    <w:rsid w:val="00774ED7"/>
    <w:rsid w:val="0079461E"/>
    <w:rsid w:val="007A4757"/>
    <w:rsid w:val="007C13B8"/>
    <w:rsid w:val="007E64B7"/>
    <w:rsid w:val="0081695A"/>
    <w:rsid w:val="00836B2F"/>
    <w:rsid w:val="00840112"/>
    <w:rsid w:val="00864E17"/>
    <w:rsid w:val="00876AE7"/>
    <w:rsid w:val="008C1532"/>
    <w:rsid w:val="008F3040"/>
    <w:rsid w:val="00942192"/>
    <w:rsid w:val="009679DC"/>
    <w:rsid w:val="00A05617"/>
    <w:rsid w:val="00A55755"/>
    <w:rsid w:val="00AD22B1"/>
    <w:rsid w:val="00AE1DDF"/>
    <w:rsid w:val="00AF6749"/>
    <w:rsid w:val="00B23A28"/>
    <w:rsid w:val="00B26D6E"/>
    <w:rsid w:val="00B44B2C"/>
    <w:rsid w:val="00BE1AFB"/>
    <w:rsid w:val="00C05D7E"/>
    <w:rsid w:val="00C36B92"/>
    <w:rsid w:val="00C6665C"/>
    <w:rsid w:val="00C97E1C"/>
    <w:rsid w:val="00CE3D4B"/>
    <w:rsid w:val="00D012C5"/>
    <w:rsid w:val="00D76577"/>
    <w:rsid w:val="00DD1CC6"/>
    <w:rsid w:val="00E70B35"/>
    <w:rsid w:val="00E9128C"/>
    <w:rsid w:val="00EA0C88"/>
    <w:rsid w:val="00F028BD"/>
    <w:rsid w:val="00F10B90"/>
    <w:rsid w:val="00F66AD0"/>
    <w:rsid w:val="00F722C7"/>
    <w:rsid w:val="00FF77B8"/>
    <w:rsid w:val="754FC1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99F24"/>
  <w15:docId w15:val="{AFDE6F48-4BB3-4EE9-9E7A-E10BE476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4E17"/>
    <w:pPr>
      <w:tabs>
        <w:tab w:val="center" w:pos="4513"/>
        <w:tab w:val="right" w:pos="9026"/>
      </w:tabs>
    </w:pPr>
  </w:style>
  <w:style w:type="character" w:customStyle="1" w:styleId="HeaderChar">
    <w:name w:val="Header Char"/>
    <w:basedOn w:val="DefaultParagraphFont"/>
    <w:link w:val="Header"/>
    <w:uiPriority w:val="99"/>
    <w:rsid w:val="00864E17"/>
  </w:style>
  <w:style w:type="paragraph" w:styleId="Footer">
    <w:name w:val="footer"/>
    <w:basedOn w:val="Normal"/>
    <w:link w:val="FooterChar"/>
    <w:uiPriority w:val="99"/>
    <w:unhideWhenUsed/>
    <w:rsid w:val="00864E17"/>
    <w:pPr>
      <w:tabs>
        <w:tab w:val="center" w:pos="4513"/>
        <w:tab w:val="right" w:pos="9026"/>
      </w:tabs>
    </w:pPr>
  </w:style>
  <w:style w:type="character" w:customStyle="1" w:styleId="FooterChar">
    <w:name w:val="Footer Char"/>
    <w:basedOn w:val="DefaultParagraphFont"/>
    <w:link w:val="Footer"/>
    <w:uiPriority w:val="99"/>
    <w:rsid w:val="00864E17"/>
  </w:style>
  <w:style w:type="paragraph" w:styleId="BalloonText">
    <w:name w:val="Balloon Text"/>
    <w:basedOn w:val="Normal"/>
    <w:link w:val="BalloonTextChar"/>
    <w:uiPriority w:val="99"/>
    <w:semiHidden/>
    <w:unhideWhenUsed/>
    <w:rsid w:val="006B2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3D9"/>
    <w:rPr>
      <w:rFonts w:ascii="Segoe UI" w:hAnsi="Segoe UI" w:cs="Segoe UI"/>
      <w:sz w:val="18"/>
      <w:szCs w:val="18"/>
    </w:rPr>
  </w:style>
  <w:style w:type="paragraph" w:customStyle="1" w:styleId="Default">
    <w:name w:val="Default"/>
    <w:rsid w:val="007C13B8"/>
    <w:pPr>
      <w:widowControl/>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97E1C"/>
    <w:rPr>
      <w:sz w:val="16"/>
      <w:szCs w:val="16"/>
    </w:rPr>
  </w:style>
  <w:style w:type="paragraph" w:styleId="CommentText">
    <w:name w:val="annotation text"/>
    <w:basedOn w:val="Normal"/>
    <w:link w:val="CommentTextChar"/>
    <w:uiPriority w:val="99"/>
    <w:semiHidden/>
    <w:unhideWhenUsed/>
    <w:rsid w:val="00C97E1C"/>
    <w:rPr>
      <w:sz w:val="20"/>
      <w:szCs w:val="20"/>
    </w:rPr>
  </w:style>
  <w:style w:type="character" w:customStyle="1" w:styleId="CommentTextChar">
    <w:name w:val="Comment Text Char"/>
    <w:basedOn w:val="DefaultParagraphFont"/>
    <w:link w:val="CommentText"/>
    <w:uiPriority w:val="99"/>
    <w:semiHidden/>
    <w:rsid w:val="00C97E1C"/>
    <w:rPr>
      <w:sz w:val="20"/>
      <w:szCs w:val="20"/>
    </w:rPr>
  </w:style>
  <w:style w:type="paragraph" w:styleId="CommentSubject">
    <w:name w:val="annotation subject"/>
    <w:basedOn w:val="CommentText"/>
    <w:next w:val="CommentText"/>
    <w:link w:val="CommentSubjectChar"/>
    <w:uiPriority w:val="99"/>
    <w:semiHidden/>
    <w:unhideWhenUsed/>
    <w:rsid w:val="00C97E1C"/>
    <w:rPr>
      <w:b/>
      <w:bCs/>
    </w:rPr>
  </w:style>
  <w:style w:type="character" w:customStyle="1" w:styleId="CommentSubjectChar">
    <w:name w:val="Comment Subject Char"/>
    <w:basedOn w:val="CommentTextChar"/>
    <w:link w:val="CommentSubject"/>
    <w:uiPriority w:val="99"/>
    <w:semiHidden/>
    <w:rsid w:val="00C97E1C"/>
    <w:rPr>
      <w:b/>
      <w:bCs/>
      <w:sz w:val="20"/>
      <w:szCs w:val="20"/>
    </w:rPr>
  </w:style>
  <w:style w:type="paragraph" w:styleId="Revision">
    <w:name w:val="Revision"/>
    <w:hidden/>
    <w:uiPriority w:val="99"/>
    <w:semiHidden/>
    <w:rsid w:val="00C97E1C"/>
    <w:pPr>
      <w:widowControl/>
    </w:pPr>
  </w:style>
  <w:style w:type="character" w:styleId="Hyperlink">
    <w:name w:val="Hyperlink"/>
    <w:basedOn w:val="DefaultParagraphFont"/>
    <w:uiPriority w:val="99"/>
    <w:unhideWhenUsed/>
    <w:rsid w:val="00A55755"/>
    <w:rPr>
      <w:color w:val="0000FF" w:themeColor="hyperlink"/>
      <w:u w:val="single"/>
    </w:rPr>
  </w:style>
  <w:style w:type="character" w:styleId="Strong">
    <w:name w:val="Strong"/>
    <w:basedOn w:val="DefaultParagraphFont"/>
    <w:uiPriority w:val="22"/>
    <w:qFormat/>
    <w:rsid w:val="00151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D02F45E6D0B4DAAC79B0E61C9DF57" ma:contentTypeVersion="6" ma:contentTypeDescription="Create a new document." ma:contentTypeScope="" ma:versionID="99596e98509bd181166a24452cfff730">
  <xsd:schema xmlns:xsd="http://www.w3.org/2001/XMLSchema" xmlns:xs="http://www.w3.org/2001/XMLSchema" xmlns:p="http://schemas.microsoft.com/office/2006/metadata/properties" xmlns:ns2="a71ae5b2-865c-48ef-a65a-0114df0ea04a" xmlns:ns3="856f44db-47d3-4e24-a85c-3598640e2b03" targetNamespace="http://schemas.microsoft.com/office/2006/metadata/properties" ma:root="true" ma:fieldsID="9382b09a5c7f0cf9b663d409e7a1fe60" ns2:_="" ns3:_="">
    <xsd:import namespace="a71ae5b2-865c-48ef-a65a-0114df0ea04a"/>
    <xsd:import namespace="856f44db-47d3-4e24-a85c-3598640e2b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ae5b2-865c-48ef-a65a-0114df0ea0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f44db-47d3-4e24-a85c-3598640e2b0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BFBD2-31AE-49C8-8F7F-AC06E90773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21C6B-2317-413F-A951-08AB0E046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ae5b2-865c-48ef-a65a-0114df0ea04a"/>
    <ds:schemaRef ds:uri="856f44db-47d3-4e24-a85c-3598640e2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28DD6-3946-4CD1-A86F-C64717754EB6}">
  <ds:schemaRefs>
    <ds:schemaRef ds:uri="http://schemas.openxmlformats.org/officeDocument/2006/bibliography"/>
  </ds:schemaRefs>
</ds:datastoreItem>
</file>

<file path=customXml/itemProps4.xml><?xml version="1.0" encoding="utf-8"?>
<ds:datastoreItem xmlns:ds="http://schemas.openxmlformats.org/officeDocument/2006/customXml" ds:itemID="{0B75FA7B-DBFD-4521-861C-401CEF8D9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Nasrine Ghozali</cp:lastModifiedBy>
  <cp:revision>2</cp:revision>
  <cp:lastPrinted>2018-05-08T05:41:00Z</cp:lastPrinted>
  <dcterms:created xsi:type="dcterms:W3CDTF">2021-12-01T07:52:00Z</dcterms:created>
  <dcterms:modified xsi:type="dcterms:W3CDTF">2021-12-01T07:52:00Z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LastSaved">
    <vt:filetime>2016-05-19T00:00:00Z</vt:filetime>
  </property>
  <property fmtid="{D5CDD505-2E9C-101B-9397-08002B2CF9AE}" pid="4" name="ContentTypeId">
    <vt:lpwstr>0x0101002C4D02F45E6D0B4DAAC79B0E61C9DF57</vt:lpwstr>
  </property>
</Properties>
</file>